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6B84" w14:textId="4E1C2D96" w:rsidR="00691750" w:rsidRDefault="00691750" w:rsidP="00691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691750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Homogeneous Differential Equations</w:t>
      </w:r>
    </w:p>
    <w:p w14:paraId="3735484D" w14:textId="77777777" w:rsidR="00046FC5" w:rsidRDefault="00046FC5" w:rsidP="00046FC5">
      <w:pPr>
        <w:pStyle w:val="Heading1"/>
        <w:shd w:val="clear" w:color="auto" w:fill="FFFFFF"/>
        <w:spacing w:before="225" w:after="225" w:line="60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Homogeneous Differential Equation</w:t>
      </w:r>
    </w:p>
    <w:p w14:paraId="12237A95" w14:textId="77777777" w:rsidR="00046FC5" w:rsidRDefault="00046FC5" w:rsidP="00046FC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A homogeneous differential equation is an equation containing a differentiation and a function, with a set of variables. The function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 in a homogeneous differential equation is a homogeneous function such that f(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λx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)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n</w:t>
      </w:r>
      <w:r>
        <w:rPr>
          <w:rFonts w:ascii="Arial" w:hAnsi="Arial" w:cs="Arial"/>
          <w:color w:val="333333"/>
          <w:sz w:val="27"/>
          <w:szCs w:val="27"/>
        </w:rPr>
        <w:t>f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(x, y), for any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non zero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constant λ. The general form of a homogeneous differential equation is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y).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+ g(x, y).dx = 0.</w:t>
      </w:r>
    </w:p>
    <w:p w14:paraId="762259FA" w14:textId="7FD6A6B7" w:rsidR="00046FC5" w:rsidRDefault="00046FC5" w:rsidP="00046FC5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Let us learn more about the homogeneous differential equation, the method to solve a homogeneous differential equation,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examples</w:t>
      </w:r>
      <w:r>
        <w:rPr>
          <w:rFonts w:ascii="Arial" w:hAnsi="Arial" w:cs="Arial"/>
          <w:color w:val="333333"/>
          <w:sz w:val="27"/>
          <w:szCs w:val="27"/>
        </w:rPr>
        <w:t xml:space="preserve"> .</w:t>
      </w:r>
      <w:proofErr w:type="gramEnd"/>
    </w:p>
    <w:p w14:paraId="2A0DA9E3" w14:textId="77777777" w:rsidR="00691750" w:rsidRPr="00691750" w:rsidRDefault="00691750" w:rsidP="006917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</w:p>
    <w:p w14:paraId="337F72A2" w14:textId="77777777" w:rsidR="00691750" w:rsidRPr="00691750" w:rsidRDefault="00691750" w:rsidP="006917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A first order </w:t>
      </w:r>
      <w:hyperlink r:id="rId5" w:history="1">
        <w:r w:rsidRPr="0069175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IN"/>
          </w:rPr>
          <w:t>Differential Equation</w:t>
        </w:r>
      </w:hyperlink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 is </w:t>
      </w:r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>Homogeneous</w:t>
      </w:r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 when it can be in this form:</w:t>
      </w:r>
    </w:p>
    <w:p w14:paraId="3B5D75DC" w14:textId="697EA0EF" w:rsidR="00691750" w:rsidRPr="00691750" w:rsidRDefault="00691750" w:rsidP="0069175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N"/>
        </w:rPr>
      </w:pPr>
      <w:proofErr w:type="spellStart"/>
      <w:r>
        <w:rPr>
          <w:rFonts w:ascii="Verdana" w:eastAsia="Times New Roman" w:hAnsi="Verdana" w:cs="Times New Roman"/>
          <w:i/>
          <w:iCs/>
          <w:sz w:val="27"/>
          <w:szCs w:val="27"/>
          <w:lang w:eastAsia="en-IN"/>
        </w:rPr>
        <w:t>d</w:t>
      </w:r>
      <w:r w:rsidRPr="00691750">
        <w:rPr>
          <w:rFonts w:ascii="Verdana" w:eastAsia="Times New Roman" w:hAnsi="Verdana" w:cs="Times New Roman"/>
          <w:i/>
          <w:iCs/>
          <w:sz w:val="27"/>
          <w:szCs w:val="27"/>
          <w:lang w:eastAsia="en-IN"/>
        </w:rPr>
        <w:t>y</w:t>
      </w:r>
      <w:proofErr w:type="spellEnd"/>
      <w:r>
        <w:rPr>
          <w:rFonts w:ascii="Verdana" w:eastAsia="Times New Roman" w:hAnsi="Verdana" w:cs="Times New Roman"/>
          <w:i/>
          <w:iCs/>
          <w:sz w:val="27"/>
          <w:szCs w:val="27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7"/>
          <w:szCs w:val="27"/>
          <w:lang w:eastAsia="en-IN"/>
        </w:rPr>
        <w:t>dx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 xml:space="preserve"> = </w:t>
      </w:r>
      <w:proofErr w:type="gramStart"/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F(</w:t>
      </w:r>
      <w:proofErr w:type="gramEnd"/>
      <w:r w:rsidRPr="00691750">
        <w:rPr>
          <w:rFonts w:ascii="Verdana" w:eastAsia="Times New Roman" w:hAnsi="Verdana" w:cs="Times New Roman"/>
          <w:i/>
          <w:iCs/>
          <w:sz w:val="27"/>
          <w:szCs w:val="27"/>
          <w:lang w:eastAsia="en-IN"/>
        </w:rPr>
        <w:t>y</w:t>
      </w:r>
      <w:r>
        <w:rPr>
          <w:rFonts w:ascii="Verdana" w:eastAsia="Times New Roman" w:hAnsi="Verdana" w:cs="Times New Roman"/>
          <w:i/>
          <w:iCs/>
          <w:sz w:val="27"/>
          <w:szCs w:val="27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7"/>
          <w:szCs w:val="27"/>
          <w:lang w:eastAsia="en-IN"/>
        </w:rPr>
        <w:t>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)</w:t>
      </w:r>
    </w:p>
    <w:p w14:paraId="0B7F5DEE" w14:textId="39F0E8DC" w:rsidR="00691750" w:rsidRPr="00691750" w:rsidRDefault="00691750" w:rsidP="006917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We can solve it using </w:t>
      </w:r>
      <w:hyperlink r:id="rId6" w:history="1">
        <w:r w:rsidRPr="0069175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IN"/>
          </w:rPr>
          <w:t>Separation of Variables</w:t>
        </w:r>
      </w:hyperlink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 but first we create a new variable </w:t>
      </w:r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>v = </w:t>
      </w:r>
      <w:r w:rsidRPr="00691750">
        <w:rPr>
          <w:rFonts w:ascii="Verdana" w:eastAsia="Times New Roman" w:hAnsi="Verdana" w:cs="Times New Roman"/>
          <w:b/>
          <w:bCs/>
          <w:i/>
          <w:iCs/>
          <w:color w:val="333333"/>
          <w:lang w:eastAsia="en-IN"/>
        </w:rPr>
        <w:t>y</w:t>
      </w:r>
      <w:r>
        <w:rPr>
          <w:rFonts w:ascii="Verdana" w:eastAsia="Times New Roman" w:hAnsi="Verdana" w:cs="Times New Roman"/>
          <w:b/>
          <w:bCs/>
          <w:i/>
          <w:iCs/>
          <w:color w:val="333333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>x</w:t>
      </w:r>
    </w:p>
    <w:p w14:paraId="3043213E" w14:textId="6A22194F" w:rsidR="00691750" w:rsidRPr="00691750" w:rsidRDefault="00691750" w:rsidP="006917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v = </w:t>
      </w:r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y</w:t>
      </w:r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  </w:t>
      </w:r>
      <w:r w:rsidRPr="00691750">
        <w:rPr>
          <w:rFonts w:ascii="Verdana" w:eastAsia="Times New Roman" w:hAnsi="Verdana" w:cs="Times New Roman"/>
          <w:i/>
          <w:iCs/>
          <w:sz w:val="24"/>
          <w:szCs w:val="24"/>
          <w:lang w:eastAsia="en-IN"/>
        </w:rPr>
        <w:t>which is also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 xml:space="preserve">   y = </w:t>
      </w:r>
      <w:proofErr w:type="spellStart"/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vx</w:t>
      </w:r>
      <w:proofErr w:type="spellEnd"/>
    </w:p>
    <w:p w14:paraId="1A5F20B1" w14:textId="72D9FD24" w:rsidR="00691750" w:rsidRPr="00691750" w:rsidRDefault="00691750" w:rsidP="006917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And </w:t>
      </w:r>
      <w:proofErr w:type="spellStart"/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dy</w:t>
      </w:r>
      <w:proofErr w:type="spellEnd"/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= </w:t>
      </w:r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 (</w:t>
      </w:r>
      <w:proofErr w:type="spellStart"/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vx</w:t>
      </w:r>
      <w:proofErr w:type="spellEnd"/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)</w:t>
      </w:r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= v</w:t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>(</w:t>
      </w:r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dx</w:t>
      </w:r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)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+ x</w:t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>(</w:t>
      </w:r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dv</w:t>
      </w:r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)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(by the </w:t>
      </w:r>
      <w:hyperlink r:id="rId7" w:history="1">
        <w:r w:rsidRPr="00691750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en-IN"/>
          </w:rPr>
          <w:t>Product Rule</w:t>
        </w:r>
      </w:hyperlink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)</w:t>
      </w:r>
    </w:p>
    <w:p w14:paraId="4E75DF9F" w14:textId="6D31F1C3" w:rsidR="00691750" w:rsidRPr="00691750" w:rsidRDefault="00691750" w:rsidP="0069175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Which can be simplified to </w:t>
      </w:r>
      <w:proofErr w:type="spellStart"/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dy</w:t>
      </w:r>
      <w:proofErr w:type="spellEnd"/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 w:rsidRPr="00691750">
        <w:rPr>
          <w:rFonts w:ascii="Verdana" w:eastAsia="Times New Roman" w:hAnsi="Verdana" w:cs="Times New Roman"/>
          <w:sz w:val="24"/>
          <w:szCs w:val="24"/>
          <w:lang w:eastAsia="en-IN"/>
        </w:rPr>
        <w:t> = v + x</w:t>
      </w:r>
      <w:r>
        <w:rPr>
          <w:rFonts w:ascii="Verdana" w:eastAsia="Times New Roman" w:hAnsi="Verdana" w:cs="Times New Roman"/>
          <w:sz w:val="24"/>
          <w:szCs w:val="24"/>
          <w:lang w:eastAsia="en-IN"/>
        </w:rPr>
        <w:t>(</w:t>
      </w:r>
      <w:r w:rsidRPr="00691750"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dv</w:t>
      </w:r>
      <w:r>
        <w:rPr>
          <w:rFonts w:ascii="Verdana" w:eastAsia="Times New Roman" w:hAnsi="Verdana" w:cs="Times New Roman"/>
          <w:i/>
          <w:iCs/>
          <w:sz w:val="25"/>
          <w:szCs w:val="25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dx</w:t>
      </w:r>
      <w:r>
        <w:rPr>
          <w:rFonts w:ascii="Verdana" w:eastAsia="Times New Roman" w:hAnsi="Verdana" w:cs="Times New Roman"/>
          <w:b/>
          <w:bCs/>
          <w:sz w:val="25"/>
          <w:szCs w:val="25"/>
          <w:lang w:eastAsia="en-IN"/>
        </w:rPr>
        <w:t>)</w:t>
      </w:r>
    </w:p>
    <w:p w14:paraId="1B10AEE1" w14:textId="68C6AE9E" w:rsidR="00691750" w:rsidRDefault="00691750" w:rsidP="0069175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</w:pPr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Using </w:t>
      </w:r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 xml:space="preserve">y = </w:t>
      </w:r>
      <w:proofErr w:type="spellStart"/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>vx</w:t>
      </w:r>
      <w:proofErr w:type="spellEnd"/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 and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 xml:space="preserve">  </w:t>
      </w:r>
      <w:r w:rsidRPr="0069175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n-IN"/>
        </w:rPr>
        <w:t> </w:t>
      </w:r>
      <w:proofErr w:type="spellStart"/>
      <w:r w:rsidRPr="00691750">
        <w:rPr>
          <w:rFonts w:ascii="Verdana" w:eastAsia="Times New Roman" w:hAnsi="Verdana" w:cs="Times New Roman"/>
          <w:b/>
          <w:bCs/>
          <w:i/>
          <w:iCs/>
          <w:color w:val="333333"/>
          <w:sz w:val="40"/>
          <w:szCs w:val="40"/>
          <w:lang w:eastAsia="en-IN"/>
        </w:rPr>
        <w:t>dy</w:t>
      </w:r>
      <w:proofErr w:type="spellEnd"/>
      <w:r w:rsidRPr="00691750">
        <w:rPr>
          <w:rFonts w:ascii="Verdana" w:eastAsia="Times New Roman" w:hAnsi="Verdana" w:cs="Times New Roman"/>
          <w:b/>
          <w:bCs/>
          <w:i/>
          <w:iCs/>
          <w:color w:val="333333"/>
          <w:sz w:val="40"/>
          <w:szCs w:val="40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en-IN"/>
        </w:rPr>
        <w:t>dx</w:t>
      </w:r>
      <w:r w:rsidRPr="00691750">
        <w:rPr>
          <w:rFonts w:ascii="Verdana" w:eastAsia="Times New Roman" w:hAnsi="Verdana" w:cs="Times New Roman"/>
          <w:b/>
          <w:bCs/>
          <w:color w:val="333333"/>
          <w:sz w:val="44"/>
          <w:szCs w:val="44"/>
          <w:lang w:eastAsia="en-IN"/>
        </w:rPr>
        <w:t> = v + x</w:t>
      </w:r>
      <w:r w:rsidRPr="00691750">
        <w:rPr>
          <w:rFonts w:ascii="Verdana" w:eastAsia="Times New Roman" w:hAnsi="Verdana" w:cs="Times New Roman"/>
          <w:b/>
          <w:bCs/>
          <w:color w:val="333333"/>
          <w:sz w:val="44"/>
          <w:szCs w:val="44"/>
          <w:lang w:eastAsia="en-IN"/>
        </w:rPr>
        <w:t>(</w:t>
      </w:r>
      <w:r w:rsidRPr="00691750">
        <w:rPr>
          <w:rFonts w:ascii="Verdana" w:eastAsia="Times New Roman" w:hAnsi="Verdana" w:cs="Times New Roman"/>
          <w:b/>
          <w:bCs/>
          <w:i/>
          <w:iCs/>
          <w:color w:val="333333"/>
          <w:sz w:val="40"/>
          <w:szCs w:val="40"/>
          <w:lang w:eastAsia="en-IN"/>
        </w:rPr>
        <w:t>dv</w:t>
      </w:r>
      <w:r w:rsidRPr="00691750">
        <w:rPr>
          <w:rFonts w:ascii="Verdana" w:eastAsia="Times New Roman" w:hAnsi="Verdana" w:cs="Times New Roman"/>
          <w:b/>
          <w:bCs/>
          <w:i/>
          <w:iCs/>
          <w:color w:val="333333"/>
          <w:sz w:val="40"/>
          <w:szCs w:val="40"/>
          <w:lang w:eastAsia="en-IN"/>
        </w:rPr>
        <w:t>/</w:t>
      </w:r>
      <w:r w:rsidRPr="00691750"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en-IN"/>
        </w:rPr>
        <w:t>dx</w:t>
      </w:r>
      <w:r w:rsidRPr="00691750"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en-IN"/>
        </w:rPr>
        <w:t>)</w:t>
      </w:r>
      <w:r>
        <w:rPr>
          <w:rFonts w:ascii="Verdana" w:eastAsia="Times New Roman" w:hAnsi="Verdana" w:cs="Times New Roman"/>
          <w:b/>
          <w:bCs/>
          <w:color w:val="333333"/>
          <w:sz w:val="40"/>
          <w:szCs w:val="40"/>
          <w:lang w:eastAsia="en-IN"/>
        </w:rPr>
        <w:t xml:space="preserve">  </w:t>
      </w:r>
      <w:r w:rsidRPr="00691750">
        <w:rPr>
          <w:rFonts w:ascii="Verdana" w:eastAsia="Times New Roman" w:hAnsi="Verdana" w:cs="Times New Roman"/>
          <w:color w:val="333333"/>
          <w:sz w:val="44"/>
          <w:szCs w:val="44"/>
          <w:lang w:eastAsia="en-IN"/>
        </w:rPr>
        <w:t> </w:t>
      </w:r>
      <w:r w:rsidRPr="00691750">
        <w:rPr>
          <w:rFonts w:ascii="Verdana" w:eastAsia="Times New Roman" w:hAnsi="Verdana" w:cs="Times New Roman"/>
          <w:color w:val="333333"/>
          <w:sz w:val="24"/>
          <w:szCs w:val="24"/>
          <w:lang w:eastAsia="en-IN"/>
        </w:rPr>
        <w:t>we can solve the Differential Equation.</w:t>
      </w:r>
    </w:p>
    <w:p w14:paraId="78F50277" w14:textId="77777777" w:rsidR="00046FC5" w:rsidRDefault="00046FC5" w:rsidP="00046FC5">
      <w:pPr>
        <w:pStyle w:val="Heading2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What Is </w:t>
      </w:r>
      <w:proofErr w:type="gramStart"/>
      <w:r>
        <w:rPr>
          <w:rFonts w:ascii="inherit" w:hAnsi="inherit" w:cs="Arial"/>
          <w:color w:val="000000"/>
        </w:rPr>
        <w:t>A</w:t>
      </w:r>
      <w:proofErr w:type="gramEnd"/>
      <w:r>
        <w:rPr>
          <w:rFonts w:ascii="inherit" w:hAnsi="inherit" w:cs="Arial"/>
          <w:color w:val="000000"/>
        </w:rPr>
        <w:t xml:space="preserve"> Homogeneous Differential Equation?</w:t>
      </w:r>
    </w:p>
    <w:p w14:paraId="6A6C79DA" w14:textId="74CB8E27" w:rsidR="00046FC5" w:rsidRDefault="00046FC5" w:rsidP="00046FC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A differential equation containing a homogeneous function is called a homogeneous differential equation. The function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 is called a homogeneous function if f(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λx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)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n</w:t>
      </w:r>
      <w:r>
        <w:rPr>
          <w:rFonts w:ascii="Arial" w:hAnsi="Arial" w:cs="Arial"/>
          <w:color w:val="333333"/>
          <w:sz w:val="27"/>
          <w:szCs w:val="27"/>
        </w:rPr>
        <w:t>f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(x, y), for any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non zero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constant λ. The general form of the homogeneous differential equation is of the form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y).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+ g(x, y).dx = 0. The homogeneous differential equation has the same degree for the variables x, y within the equation.</w:t>
      </w:r>
    </w:p>
    <w:p w14:paraId="4019757D" w14:textId="2C90385B" w:rsidR="00046FC5" w:rsidRDefault="00046FC5" w:rsidP="00046FC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The homogeneous differential equation does not have a constant term within the equation. The linear differential equation has a constant term. The solution of a linear differential equation is possible if we are able to remove the constant term from the linear differential equation and transform it into a homogeneous differential equation. Also, the homogeneous differential equation does not have the variables x, y within any special functions such as logarithmic, or trigonometric functions.</w:t>
      </w:r>
    </w:p>
    <w:p w14:paraId="3427D635" w14:textId="77777777" w:rsidR="00046FC5" w:rsidRDefault="00046FC5" w:rsidP="00046FC5">
      <w:pPr>
        <w:pStyle w:val="Heading3"/>
        <w:shd w:val="clear" w:color="auto" w:fill="FFFFFF"/>
        <w:spacing w:before="199" w:after="199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Examples of Homogeneous Differential equations.</w:t>
      </w:r>
    </w:p>
    <w:p w14:paraId="77517575" w14:textId="77777777" w:rsidR="00046FC5" w:rsidRDefault="00046FC5" w:rsidP="00046FC5">
      <w:pPr>
        <w:numPr>
          <w:ilvl w:val="0"/>
          <w:numId w:val="1"/>
        </w:numPr>
        <w:shd w:val="clear" w:color="auto" w:fill="FFFFFF"/>
        <w:spacing w:after="0" w:line="420" w:lineRule="atLeast"/>
        <w:ind w:left="1095"/>
        <w:textAlignment w:val="baseline"/>
        <w:rPr>
          <w:rFonts w:ascii="inherit" w:hAnsi="inherit" w:cs="Arial"/>
          <w:color w:val="333333"/>
          <w:sz w:val="24"/>
          <w:szCs w:val="24"/>
        </w:rPr>
      </w:pPr>
      <w:proofErr w:type="spellStart"/>
      <w:r>
        <w:rPr>
          <w:rFonts w:ascii="inherit" w:hAnsi="inherit" w:cs="Arial"/>
          <w:color w:val="333333"/>
        </w:rPr>
        <w:t>dy</w:t>
      </w:r>
      <w:proofErr w:type="spellEnd"/>
      <w:r>
        <w:rPr>
          <w:rFonts w:ascii="inherit" w:hAnsi="inherit" w:cs="Arial"/>
          <w:color w:val="333333"/>
        </w:rPr>
        <w:t>/dx = (x + y)</w:t>
      </w:r>
      <w:proofErr w:type="gramStart"/>
      <w:r>
        <w:rPr>
          <w:rFonts w:ascii="inherit" w:hAnsi="inherit" w:cs="Arial"/>
          <w:color w:val="333333"/>
        </w:rPr>
        <w:t>/(</w:t>
      </w:r>
      <w:proofErr w:type="gramEnd"/>
      <w:r>
        <w:rPr>
          <w:rFonts w:ascii="inherit" w:hAnsi="inherit" w:cs="Arial"/>
          <w:color w:val="333333"/>
        </w:rPr>
        <w:t>x - y)</w:t>
      </w:r>
    </w:p>
    <w:p w14:paraId="0B141147" w14:textId="77777777" w:rsidR="00046FC5" w:rsidRDefault="00046FC5" w:rsidP="00046FC5">
      <w:pPr>
        <w:numPr>
          <w:ilvl w:val="0"/>
          <w:numId w:val="1"/>
        </w:numPr>
        <w:shd w:val="clear" w:color="auto" w:fill="FFFFFF"/>
        <w:spacing w:after="0" w:line="420" w:lineRule="atLeast"/>
        <w:ind w:left="1095"/>
        <w:textAlignment w:val="baseline"/>
        <w:rPr>
          <w:rFonts w:ascii="inherit" w:hAnsi="inherit" w:cs="Arial"/>
          <w:color w:val="333333"/>
        </w:rPr>
      </w:pPr>
      <w:proofErr w:type="spellStart"/>
      <w:r>
        <w:rPr>
          <w:rFonts w:ascii="inherit" w:hAnsi="inherit" w:cs="Arial"/>
          <w:color w:val="333333"/>
        </w:rPr>
        <w:t>dy</w:t>
      </w:r>
      <w:proofErr w:type="spellEnd"/>
      <w:r>
        <w:rPr>
          <w:rFonts w:ascii="inherit" w:hAnsi="inherit" w:cs="Arial"/>
          <w:color w:val="333333"/>
        </w:rPr>
        <w:t xml:space="preserve">/dx = </w:t>
      </w:r>
      <w:proofErr w:type="gramStart"/>
      <w:r>
        <w:rPr>
          <w:rFonts w:ascii="inherit" w:hAnsi="inherit" w:cs="Arial"/>
          <w:color w:val="333333"/>
        </w:rPr>
        <w:t>x(</w:t>
      </w:r>
      <w:proofErr w:type="gramEnd"/>
      <w:r>
        <w:rPr>
          <w:rFonts w:ascii="inherit" w:hAnsi="inherit" w:cs="Arial"/>
          <w:color w:val="333333"/>
        </w:rPr>
        <w:t>x - y)/y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2</w:t>
      </w:r>
    </w:p>
    <w:p w14:paraId="1BE7895E" w14:textId="77777777" w:rsidR="00046FC5" w:rsidRDefault="00046FC5" w:rsidP="00046FC5">
      <w:pPr>
        <w:numPr>
          <w:ilvl w:val="0"/>
          <w:numId w:val="1"/>
        </w:numPr>
        <w:shd w:val="clear" w:color="auto" w:fill="FFFFFF"/>
        <w:spacing w:after="0" w:line="420" w:lineRule="atLeast"/>
        <w:ind w:left="1095"/>
        <w:textAlignment w:val="baseline"/>
        <w:rPr>
          <w:rFonts w:ascii="inherit" w:hAnsi="inherit" w:cs="Arial"/>
          <w:color w:val="333333"/>
        </w:rPr>
      </w:pPr>
      <w:proofErr w:type="spellStart"/>
      <w:r>
        <w:rPr>
          <w:rFonts w:ascii="inherit" w:hAnsi="inherit" w:cs="Arial"/>
          <w:color w:val="333333"/>
        </w:rPr>
        <w:t>dy</w:t>
      </w:r>
      <w:proofErr w:type="spellEnd"/>
      <w:r>
        <w:rPr>
          <w:rFonts w:ascii="inherit" w:hAnsi="inherit" w:cs="Arial"/>
          <w:color w:val="333333"/>
        </w:rPr>
        <w:t>/dx = (x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2</w:t>
      </w:r>
      <w:r>
        <w:rPr>
          <w:rFonts w:ascii="inherit" w:hAnsi="inherit" w:cs="Arial"/>
          <w:color w:val="333333"/>
        </w:rPr>
        <w:t> + y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2</w:t>
      </w:r>
      <w:r>
        <w:rPr>
          <w:rFonts w:ascii="inherit" w:hAnsi="inherit" w:cs="Arial"/>
          <w:color w:val="333333"/>
        </w:rPr>
        <w:t>)/</w:t>
      </w:r>
      <w:proofErr w:type="spellStart"/>
      <w:r>
        <w:rPr>
          <w:rFonts w:ascii="inherit" w:hAnsi="inherit" w:cs="Arial"/>
          <w:color w:val="333333"/>
        </w:rPr>
        <w:t>xy</w:t>
      </w:r>
      <w:proofErr w:type="spellEnd"/>
    </w:p>
    <w:p w14:paraId="1C8D93F2" w14:textId="77777777" w:rsidR="00046FC5" w:rsidRDefault="00046FC5" w:rsidP="00046FC5">
      <w:pPr>
        <w:numPr>
          <w:ilvl w:val="0"/>
          <w:numId w:val="1"/>
        </w:numPr>
        <w:shd w:val="clear" w:color="auto" w:fill="FFFFFF"/>
        <w:spacing w:after="0" w:line="420" w:lineRule="atLeast"/>
        <w:ind w:left="1095"/>
        <w:textAlignment w:val="baseline"/>
        <w:rPr>
          <w:rFonts w:ascii="inherit" w:hAnsi="inherit" w:cs="Arial"/>
          <w:color w:val="333333"/>
        </w:rPr>
      </w:pPr>
      <w:proofErr w:type="spellStart"/>
      <w:r>
        <w:rPr>
          <w:rFonts w:ascii="inherit" w:hAnsi="inherit" w:cs="Arial"/>
          <w:color w:val="333333"/>
        </w:rPr>
        <w:t>dy</w:t>
      </w:r>
      <w:proofErr w:type="spellEnd"/>
      <w:r>
        <w:rPr>
          <w:rFonts w:ascii="inherit" w:hAnsi="inherit" w:cs="Arial"/>
          <w:color w:val="333333"/>
        </w:rPr>
        <w:t>/dx = (3x + y)</w:t>
      </w:r>
      <w:proofErr w:type="gramStart"/>
      <w:r>
        <w:rPr>
          <w:rFonts w:ascii="inherit" w:hAnsi="inherit" w:cs="Arial"/>
          <w:color w:val="333333"/>
        </w:rPr>
        <w:t>/(</w:t>
      </w:r>
      <w:proofErr w:type="gramEnd"/>
      <w:r>
        <w:rPr>
          <w:rFonts w:ascii="inherit" w:hAnsi="inherit" w:cs="Arial"/>
          <w:color w:val="333333"/>
        </w:rPr>
        <w:t>x - y)</w:t>
      </w:r>
    </w:p>
    <w:p w14:paraId="7E71789C" w14:textId="77777777" w:rsidR="00046FC5" w:rsidRDefault="00046FC5" w:rsidP="00046FC5">
      <w:pPr>
        <w:numPr>
          <w:ilvl w:val="0"/>
          <w:numId w:val="1"/>
        </w:numPr>
        <w:shd w:val="clear" w:color="auto" w:fill="FFFFFF"/>
        <w:spacing w:after="0" w:line="420" w:lineRule="atLeast"/>
        <w:ind w:left="1095"/>
        <w:textAlignment w:val="baseline"/>
        <w:rPr>
          <w:rFonts w:ascii="inherit" w:hAnsi="inherit" w:cs="Arial"/>
          <w:color w:val="333333"/>
        </w:rPr>
      </w:pPr>
      <w:proofErr w:type="spellStart"/>
      <w:r>
        <w:rPr>
          <w:rFonts w:ascii="inherit" w:hAnsi="inherit" w:cs="Arial"/>
          <w:color w:val="333333"/>
        </w:rPr>
        <w:t>dy</w:t>
      </w:r>
      <w:proofErr w:type="spellEnd"/>
      <w:r>
        <w:rPr>
          <w:rFonts w:ascii="inherit" w:hAnsi="inherit" w:cs="Arial"/>
          <w:color w:val="333333"/>
        </w:rPr>
        <w:t>/dx = (x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3</w:t>
      </w:r>
      <w:r>
        <w:rPr>
          <w:rFonts w:ascii="inherit" w:hAnsi="inherit" w:cs="Arial"/>
          <w:color w:val="333333"/>
        </w:rPr>
        <w:t> + y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3</w:t>
      </w:r>
      <w:r>
        <w:rPr>
          <w:rFonts w:ascii="inherit" w:hAnsi="inherit" w:cs="Arial"/>
          <w:color w:val="333333"/>
        </w:rPr>
        <w:t>)</w:t>
      </w:r>
      <w:proofErr w:type="gramStart"/>
      <w:r>
        <w:rPr>
          <w:rFonts w:ascii="inherit" w:hAnsi="inherit" w:cs="Arial"/>
          <w:color w:val="333333"/>
        </w:rPr>
        <w:t>/(</w:t>
      </w:r>
      <w:proofErr w:type="gramEnd"/>
      <w:r>
        <w:rPr>
          <w:rFonts w:ascii="inherit" w:hAnsi="inherit" w:cs="Arial"/>
          <w:color w:val="333333"/>
        </w:rPr>
        <w:t>xy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2</w:t>
      </w:r>
      <w:r>
        <w:rPr>
          <w:rFonts w:ascii="inherit" w:hAnsi="inherit" w:cs="Arial"/>
          <w:color w:val="333333"/>
        </w:rPr>
        <w:t> + yx</w:t>
      </w:r>
      <w:r>
        <w:rPr>
          <w:rFonts w:ascii="inherit" w:hAnsi="inherit" w:cs="Arial"/>
          <w:color w:val="333333"/>
          <w:bdr w:val="none" w:sz="0" w:space="0" w:color="auto" w:frame="1"/>
          <w:vertAlign w:val="superscript"/>
        </w:rPr>
        <w:t>2</w:t>
      </w:r>
      <w:r>
        <w:rPr>
          <w:rFonts w:ascii="inherit" w:hAnsi="inherit" w:cs="Arial"/>
          <w:color w:val="333333"/>
        </w:rPr>
        <w:t>)</w:t>
      </w:r>
    </w:p>
    <w:p w14:paraId="622D06BC" w14:textId="3E6477C4" w:rsidR="00046FC5" w:rsidRDefault="00046FC5" w:rsidP="00046FC5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In these above examples, we can substitute x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λx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and y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λy</w:t>
      </w:r>
      <w:proofErr w:type="spellEnd"/>
      <w:r>
        <w:rPr>
          <w:rFonts w:ascii="Arial" w:hAnsi="Arial" w:cs="Arial"/>
          <w:color w:val="333333"/>
          <w:sz w:val="27"/>
          <w:szCs w:val="27"/>
        </w:rPr>
        <w:t>, to prove it for the homogeneous differential equation. Also, if the homogeneous differential equation is of the form dx/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=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x, y), and f(x, y) is a homogeneous function, then we substitute x/y = v, or x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vy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 This on further integration, and substituting back the variables x, y, gives the general solution of the homogeneous differential equation.</w:t>
      </w:r>
    </w:p>
    <w:p w14:paraId="34FAB7FA" w14:textId="77777777" w:rsidR="00C028C1" w:rsidRDefault="00C028C1" w:rsidP="00C028C1">
      <w:pPr>
        <w:pStyle w:val="Heading2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How To Solve a Homogeneous Differential Equation?</w:t>
      </w:r>
    </w:p>
    <w:p w14:paraId="1170BCE7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The general solution of the homogeneous differential equation can be obtained by the integration of the given differential equation. A homogeneous differential equation of the form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 =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y), is solved by first separating the variable and the derivative of the particular variable on either side and then integrating it with respect to the variable.</w:t>
      </w:r>
    </w:p>
    <w:p w14:paraId="2D0B9D8C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To solve a homogeneous differential equation of the form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 =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x, y), we make the substitution y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v.x.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Here it is easy to integrate and solve with this substitution. Further the differentiation of y =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vx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, with respect to x we get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 = v +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x.dv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/dx. We can substitute the value of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 in the expression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dy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/dx =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f(</w:t>
      </w:r>
      <w:proofErr w:type="gramEnd"/>
      <w:r>
        <w:rPr>
          <w:rFonts w:ascii="Arial" w:hAnsi="Arial" w:cs="Arial"/>
          <w:color w:val="333333"/>
          <w:sz w:val="27"/>
          <w:szCs w:val="27"/>
        </w:rPr>
        <w:t>x, y) = g(y/x) to get the below expression.</w:t>
      </w:r>
    </w:p>
    <w:p w14:paraId="31A7BD1B" w14:textId="307AF0F4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v + x.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dv/dx = g(v)</w:t>
      </w:r>
    </w:p>
    <w:p w14:paraId="0B0E85F6" w14:textId="0B936449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proofErr w:type="gramStart"/>
      <w:r>
        <w:rPr>
          <w:rFonts w:ascii="Arial" w:hAnsi="Arial" w:cs="Arial"/>
          <w:color w:val="333333"/>
          <w:sz w:val="27"/>
          <w:szCs w:val="27"/>
        </w:rPr>
        <w:t>x</w:t>
      </w:r>
      <w:r>
        <w:rPr>
          <w:rFonts w:ascii="Arial" w:hAnsi="Arial" w:cs="Arial"/>
          <w:color w:val="333333"/>
          <w:sz w:val="27"/>
          <w:szCs w:val="27"/>
        </w:rPr>
        <w:t xml:space="preserve"> .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r>
        <w:rPr>
          <w:rFonts w:ascii="Arial" w:hAnsi="Arial" w:cs="Arial"/>
          <w:color w:val="333333"/>
          <w:sz w:val="27"/>
          <w:szCs w:val="27"/>
        </w:rPr>
        <w:t>dv/dx = g(v) - v</w:t>
      </w:r>
    </w:p>
    <w:p w14:paraId="4735D6FA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Separating the variables x and v, we have:</w:t>
      </w:r>
    </w:p>
    <w:p w14:paraId="77851FE4" w14:textId="33DEA55E" w:rsidR="00C028C1" w:rsidRDefault="00C028C1" w:rsidP="00C028C1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d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/(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g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)−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)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=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dx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/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x</w:t>
      </w:r>
    </w:p>
    <w:p w14:paraId="49255D52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Here we integrate it on both sides, which results in the following expression.</w:t>
      </w:r>
    </w:p>
    <w:p w14:paraId="3979F76B" w14:textId="2D34C2E2" w:rsidR="00C028C1" w:rsidRPr="00C028C1" w:rsidRDefault="00C028C1" w:rsidP="00C028C1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</w:pPr>
      <w:r>
        <w:rPr>
          <w:rStyle w:val="mjx-char"/>
          <w:rFonts w:ascii="MJXc-TeX-size1-Rw" w:hAnsi="MJXc-TeX-size1-Rw" w:cs="Arial"/>
          <w:color w:val="333333"/>
          <w:sz w:val="27"/>
          <w:szCs w:val="27"/>
          <w:bdr w:val="none" w:sz="0" w:space="0" w:color="auto" w:frame="1"/>
        </w:rPr>
        <w:t>∫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1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/(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g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)−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proofErr w:type="gramStart"/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)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.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dv</w:t>
      </w:r>
      <w:proofErr w:type="gramEnd"/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=</w:t>
      </w:r>
      <w:r>
        <w:rPr>
          <w:rStyle w:val="mjx-char"/>
          <w:rFonts w:ascii="MJXc-TeX-size1-Rw" w:hAnsi="MJXc-TeX-size1-Rw" w:cs="Arial"/>
          <w:color w:val="333333"/>
          <w:sz w:val="27"/>
          <w:szCs w:val="27"/>
          <w:bdr w:val="none" w:sz="0" w:space="0" w:color="auto" w:frame="1"/>
        </w:rPr>
        <w:t>∫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1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/</w:t>
      </w:r>
      <w:proofErr w:type="spellStart"/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x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.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dx</w:t>
      </w:r>
      <w:proofErr w:type="spellEnd"/>
    </w:p>
    <w:p w14:paraId="17159B8A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The above expression gives the following solution, which is the general solution of the differential equation.</w:t>
      </w:r>
    </w:p>
    <w:p w14:paraId="32FCC48A" w14:textId="41A4E9E4" w:rsidR="00C028C1" w:rsidRDefault="00C028C1" w:rsidP="00C028C1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mjx-char"/>
          <w:rFonts w:ascii="MJXc-TeX-size1-Rw" w:hAnsi="MJXc-TeX-size1-Rw" w:cs="Arial"/>
          <w:color w:val="333333"/>
          <w:sz w:val="27"/>
          <w:szCs w:val="27"/>
          <w:bdr w:val="none" w:sz="0" w:space="0" w:color="auto" w:frame="1"/>
        </w:rPr>
        <w:t>∫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1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/(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g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(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)−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v</w:t>
      </w:r>
      <w:proofErr w:type="gramStart"/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)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.</w:t>
      </w:r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dv</w:t>
      </w:r>
      <w:proofErr w:type="gramEnd"/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=</w:t>
      </w:r>
      <w:proofErr w:type="spellStart"/>
      <w:r>
        <w:rPr>
          <w:rStyle w:val="mjx-char"/>
          <w:rFonts w:ascii="MJXc-TeX-math-Iw" w:hAnsi="MJXc-TeX-math-Iw" w:cs="Arial"/>
          <w:color w:val="333333"/>
          <w:sz w:val="27"/>
          <w:szCs w:val="27"/>
          <w:bdr w:val="none" w:sz="0" w:space="0" w:color="auto" w:frame="1"/>
        </w:rPr>
        <w:t>Logx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+</w:t>
      </w:r>
      <w:r>
        <w:rPr>
          <w:rStyle w:val="mjx-char"/>
          <w:rFonts w:ascii="MJXc-TeX-main-Rw" w:hAnsi="MJXc-TeX-main-Rw" w:cs="Arial"/>
          <w:color w:val="333333"/>
          <w:sz w:val="27"/>
          <w:szCs w:val="27"/>
          <w:bdr w:val="none" w:sz="0" w:space="0" w:color="auto" w:frame="1"/>
        </w:rPr>
        <w:t>C</w:t>
      </w:r>
      <w:proofErr w:type="spellEnd"/>
    </w:p>
    <w:p w14:paraId="260CBFF2" w14:textId="77777777" w:rsidR="00C028C1" w:rsidRDefault="00C028C1" w:rsidP="00C028C1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Here we substitute back the value of v = y/x, to obtain the general solution of the homogeneous differential equation. The presence of +C in the solution, refers it as a general solution, and further solving and substituting the value of +C, we can obtain the particular solution of the given homogeneous differential equation.</w:t>
      </w:r>
    </w:p>
    <w:p w14:paraId="2F5364E8" w14:textId="77777777" w:rsidR="00046FC5" w:rsidRDefault="00046FC5" w:rsidP="00046FC5">
      <w:pPr>
        <w:pStyle w:val="NormalWeb"/>
        <w:shd w:val="clear" w:color="auto" w:fill="FFFFFF"/>
        <w:spacing w:before="75" w:beforeAutospacing="0" w:after="75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14:paraId="33CEB68D" w14:textId="77777777" w:rsidR="00046FC5" w:rsidRDefault="00046FC5" w:rsidP="00046FC5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</w:p>
    <w:sectPr w:rsidR="00046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JXc-TeX-math-Iw">
    <w:altName w:val="Cambria"/>
    <w:panose1 w:val="00000000000000000000"/>
    <w:charset w:val="00"/>
    <w:family w:val="roman"/>
    <w:notTrueType/>
    <w:pitch w:val="default"/>
  </w:font>
  <w:font w:name="MJXc-TeX-main-Rw">
    <w:altName w:val="Cambria"/>
    <w:panose1 w:val="00000000000000000000"/>
    <w:charset w:val="00"/>
    <w:family w:val="roman"/>
    <w:notTrueType/>
    <w:pitch w:val="default"/>
  </w:font>
  <w:font w:name="MJXc-TeX-size1-Rw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14723"/>
    <w:multiLevelType w:val="multilevel"/>
    <w:tmpl w:val="9176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9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50"/>
    <w:rsid w:val="00046FC5"/>
    <w:rsid w:val="005862EF"/>
    <w:rsid w:val="00691750"/>
    <w:rsid w:val="00C0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105A"/>
  <w15:chartTrackingRefBased/>
  <w15:docId w15:val="{11F21092-58EF-4206-AB10-3EFF90C2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1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175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9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91750"/>
    <w:rPr>
      <w:color w:val="0000FF"/>
      <w:u w:val="single"/>
    </w:rPr>
  </w:style>
  <w:style w:type="paragraph" w:customStyle="1" w:styleId="center">
    <w:name w:val="center"/>
    <w:basedOn w:val="Normal"/>
    <w:rsid w:val="0069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ntbl">
    <w:name w:val="intbl"/>
    <w:basedOn w:val="DefaultParagraphFont"/>
    <w:rsid w:val="00691750"/>
  </w:style>
  <w:style w:type="character" w:styleId="Emphasis">
    <w:name w:val="Emphasis"/>
    <w:basedOn w:val="DefaultParagraphFont"/>
    <w:uiPriority w:val="20"/>
    <w:qFormat/>
    <w:rsid w:val="00691750"/>
    <w:rPr>
      <w:i/>
      <w:iCs/>
    </w:rPr>
  </w:style>
  <w:style w:type="character" w:styleId="Strong">
    <w:name w:val="Strong"/>
    <w:basedOn w:val="DefaultParagraphFont"/>
    <w:uiPriority w:val="22"/>
    <w:qFormat/>
    <w:rsid w:val="006917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46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F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jx-char">
    <w:name w:val="mjx-char"/>
    <w:basedOn w:val="DefaultParagraphFont"/>
    <w:rsid w:val="00C028C1"/>
  </w:style>
  <w:style w:type="character" w:customStyle="1" w:styleId="mjxassistivemathml">
    <w:name w:val="mjx_assistive_mathml"/>
    <w:basedOn w:val="DefaultParagraphFont"/>
    <w:rsid w:val="00C0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hsisfun.com/calculus/derivatives-ru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hsisfun.com/calculus/separation-variables.html" TargetMode="External"/><Relationship Id="rId5" Type="http://schemas.openxmlformats.org/officeDocument/2006/relationships/hyperlink" Target="https://www.mathsisfun.com/calculus/differential-equation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choudhary</dc:creator>
  <cp:keywords/>
  <dc:description/>
  <cp:lastModifiedBy>pooja choudhary</cp:lastModifiedBy>
  <cp:revision>1</cp:revision>
  <dcterms:created xsi:type="dcterms:W3CDTF">2022-05-30T18:07:00Z</dcterms:created>
  <dcterms:modified xsi:type="dcterms:W3CDTF">2022-05-30T18:22:00Z</dcterms:modified>
</cp:coreProperties>
</file>